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05F9" w14:textId="77777777" w:rsidR="001D545C" w:rsidRDefault="001D545C" w:rsidP="0071285F">
      <w:pPr>
        <w:pStyle w:val="Normlnywebov"/>
        <w:spacing w:before="0" w:beforeAutospacing="0" w:after="0" w:afterAutospacing="0"/>
        <w:rPr>
          <w:rStyle w:val="Vrazn"/>
          <w:rFonts w:asciiTheme="minorHAnsi" w:hAnsiTheme="minorHAnsi" w:cstheme="minorHAnsi"/>
          <w:sz w:val="22"/>
          <w:szCs w:val="22"/>
        </w:rPr>
      </w:pPr>
    </w:p>
    <w:p w14:paraId="44E73F1C" w14:textId="77777777" w:rsidR="001D545C" w:rsidRPr="000C202A" w:rsidRDefault="001D545C" w:rsidP="0071285F">
      <w:pPr>
        <w:pStyle w:val="Normlnywebov"/>
        <w:spacing w:before="0" w:beforeAutospacing="0" w:after="0" w:afterAutospacing="0"/>
        <w:rPr>
          <w:rStyle w:val="Vrazn"/>
          <w:rFonts w:asciiTheme="minorHAnsi" w:hAnsiTheme="minorHAnsi" w:cstheme="minorHAnsi"/>
          <w:sz w:val="26"/>
          <w:szCs w:val="26"/>
        </w:rPr>
      </w:pPr>
    </w:p>
    <w:p w14:paraId="766CF7ED" w14:textId="3F107B23" w:rsidR="001D545C" w:rsidRPr="00484F1B" w:rsidRDefault="00484F1B" w:rsidP="00484F1B">
      <w:pPr>
        <w:spacing w:after="160" w:line="259" w:lineRule="auto"/>
        <w:jc w:val="center"/>
        <w:rPr>
          <w:b/>
          <w:bCs/>
          <w:sz w:val="28"/>
          <w:szCs w:val="28"/>
        </w:rPr>
      </w:pPr>
      <w:r w:rsidRPr="00484F1B">
        <w:rPr>
          <w:b/>
          <w:bCs/>
          <w:sz w:val="28"/>
          <w:szCs w:val="28"/>
        </w:rPr>
        <w:t>CHÝBA VÁM ENERGOŠEK? POZOR, DODÁVATELIA TEPLA O JEHO VÝŠKE A DORUČENÍ NEROZHODUJÚ.</w:t>
      </w:r>
    </w:p>
    <w:p w14:paraId="23B9DE20" w14:textId="4CA5A2EC" w:rsidR="00535ABA" w:rsidRPr="00484F1B" w:rsidRDefault="00535ABA" w:rsidP="00BD3E8C">
      <w:pPr>
        <w:pStyle w:val="Normlnywebov"/>
        <w:jc w:val="both"/>
        <w:rPr>
          <w:rFonts w:asciiTheme="minorHAnsi" w:hAnsiTheme="minorHAnsi" w:cstheme="minorHAnsi"/>
          <w:b/>
          <w:iCs/>
          <w:color w:val="808080" w:themeColor="background1" w:themeShade="80"/>
        </w:rPr>
      </w:pPr>
      <w:r w:rsidRPr="00484F1B">
        <w:rPr>
          <w:rFonts w:asciiTheme="minorHAnsi" w:hAnsiTheme="minorHAnsi" w:cstheme="minorHAnsi"/>
          <w:b/>
          <w:iCs/>
          <w:color w:val="808080" w:themeColor="background1" w:themeShade="80"/>
        </w:rPr>
        <w:t>V poslednom období evidujú dodávatelia tepla zvýšený počet podnetov od obyvateľov bytových domov, ktorým neboli doručené energošeky</w:t>
      </w:r>
      <w:r w:rsidR="00D146E3" w:rsidRPr="00484F1B">
        <w:rPr>
          <w:rFonts w:asciiTheme="minorHAnsi" w:hAnsiTheme="minorHAnsi" w:cstheme="minorHAnsi"/>
          <w:b/>
          <w:iCs/>
          <w:color w:val="808080" w:themeColor="background1" w:themeShade="80"/>
        </w:rPr>
        <w:t>, resp. nie sú spokojn</w:t>
      </w:r>
      <w:r w:rsidR="005A2492" w:rsidRPr="00484F1B">
        <w:rPr>
          <w:rFonts w:asciiTheme="minorHAnsi" w:hAnsiTheme="minorHAnsi" w:cstheme="minorHAnsi"/>
          <w:b/>
          <w:iCs/>
          <w:color w:val="808080" w:themeColor="background1" w:themeShade="80"/>
        </w:rPr>
        <w:t>í</w:t>
      </w:r>
      <w:r w:rsidR="00D146E3" w:rsidRPr="00484F1B">
        <w:rPr>
          <w:rFonts w:asciiTheme="minorHAnsi" w:hAnsiTheme="minorHAnsi" w:cstheme="minorHAnsi"/>
          <w:b/>
          <w:iCs/>
          <w:color w:val="808080" w:themeColor="background1" w:themeShade="80"/>
        </w:rPr>
        <w:t xml:space="preserve"> s výškou energošeku</w:t>
      </w:r>
      <w:r w:rsidRPr="00484F1B">
        <w:rPr>
          <w:rFonts w:asciiTheme="minorHAnsi" w:hAnsiTheme="minorHAnsi" w:cstheme="minorHAnsi"/>
          <w:b/>
          <w:iCs/>
          <w:color w:val="808080" w:themeColor="background1" w:themeShade="80"/>
        </w:rPr>
        <w:t>. Teplárenské spoločnosti sa tak často stávajú hromozvodom nespokojnosti s fungova</w:t>
      </w:r>
      <w:r w:rsidR="00484F1B" w:rsidRPr="00484F1B">
        <w:rPr>
          <w:rFonts w:asciiTheme="minorHAnsi" w:hAnsiTheme="minorHAnsi" w:cstheme="minorHAnsi"/>
          <w:b/>
          <w:iCs/>
          <w:color w:val="808080" w:themeColor="background1" w:themeShade="80"/>
        </w:rPr>
        <w:t>ním adresnej energopomoci.</w:t>
      </w:r>
    </w:p>
    <w:p w14:paraId="2C8B453F" w14:textId="78DFCF14" w:rsidR="00535ABA" w:rsidRPr="00484F1B" w:rsidRDefault="000C202A" w:rsidP="00BD3E8C">
      <w:pPr>
        <w:pStyle w:val="Normlnywebov"/>
        <w:jc w:val="both"/>
        <w:rPr>
          <w:rFonts w:asciiTheme="minorHAnsi" w:hAnsiTheme="minorHAnsi" w:cstheme="minorHAnsi"/>
        </w:rPr>
      </w:pPr>
      <w:r w:rsidRPr="00244439">
        <w:rPr>
          <w:rFonts w:asciiTheme="minorHAnsi" w:hAnsiTheme="minorHAnsi" w:cstheme="minorHAnsi"/>
          <w:bCs/>
        </w:rPr>
        <w:t>S</w:t>
      </w:r>
      <w:r w:rsidR="00535ABA" w:rsidRPr="00244439">
        <w:rPr>
          <w:rFonts w:asciiTheme="minorHAnsi" w:hAnsiTheme="minorHAnsi" w:cstheme="minorHAnsi"/>
          <w:bCs/>
        </w:rPr>
        <w:t>ystém adresnej energopomoci je plne v kompetencii štátu</w:t>
      </w:r>
      <w:r w:rsidRPr="00244439">
        <w:rPr>
          <w:rFonts w:asciiTheme="minorHAnsi" w:hAnsiTheme="minorHAnsi" w:cstheme="minorHAnsi"/>
          <w:bCs/>
        </w:rPr>
        <w:t>.</w:t>
      </w:r>
      <w:r w:rsidRPr="00484F1B">
        <w:rPr>
          <w:rFonts w:asciiTheme="minorHAnsi" w:hAnsiTheme="minorHAnsi" w:cstheme="minorHAnsi"/>
          <w:b/>
        </w:rPr>
        <w:t xml:space="preserve"> </w:t>
      </w:r>
      <w:r w:rsidR="00535ABA" w:rsidRPr="00484F1B">
        <w:rPr>
          <w:rFonts w:asciiTheme="minorHAnsi" w:hAnsiTheme="minorHAnsi" w:cstheme="minorHAnsi"/>
          <w:color w:val="EE0000"/>
        </w:rPr>
        <w:t xml:space="preserve"> </w:t>
      </w:r>
      <w:r w:rsidR="00535ABA" w:rsidRPr="00484F1B">
        <w:rPr>
          <w:rFonts w:asciiTheme="minorHAnsi" w:hAnsiTheme="minorHAnsi" w:cstheme="minorHAnsi"/>
        </w:rPr>
        <w:t>Dodávatelia tepla nemajú prístup k údajom potrebným na posúdenie nároku domácností na túto pomoc a nijako sa nepodieľajú na procese jej schvaľovania ani distribúcie energošekov.</w:t>
      </w:r>
    </w:p>
    <w:p w14:paraId="75EC50A2" w14:textId="16A8CA34" w:rsidR="00535ABA" w:rsidRPr="00484F1B" w:rsidRDefault="00535ABA" w:rsidP="00BD3E8C">
      <w:pPr>
        <w:pStyle w:val="Normlnywebov"/>
        <w:jc w:val="both"/>
        <w:rPr>
          <w:rFonts w:asciiTheme="minorHAnsi" w:hAnsiTheme="minorHAnsi" w:cstheme="minorHAnsi"/>
          <w:b/>
        </w:rPr>
      </w:pPr>
      <w:r w:rsidRPr="00484F1B">
        <w:rPr>
          <w:rFonts w:asciiTheme="minorHAnsi" w:hAnsiTheme="minorHAnsi" w:cstheme="minorHAnsi"/>
          <w:b/>
        </w:rPr>
        <w:t>Z uvedeného dôvodu nie sú schopní ovplyvniť:</w:t>
      </w:r>
    </w:p>
    <w:p w14:paraId="05DE5363" w14:textId="77777777" w:rsidR="00535ABA" w:rsidRPr="00484F1B" w:rsidRDefault="00535ABA" w:rsidP="00BD3E8C">
      <w:pPr>
        <w:pStyle w:val="Normlnywebov"/>
        <w:numPr>
          <w:ilvl w:val="0"/>
          <w:numId w:val="9"/>
        </w:numPr>
        <w:jc w:val="both"/>
        <w:rPr>
          <w:rFonts w:asciiTheme="minorHAnsi" w:hAnsiTheme="minorHAnsi" w:cstheme="minorHAnsi"/>
        </w:rPr>
      </w:pPr>
      <w:r w:rsidRPr="00484F1B">
        <w:rPr>
          <w:rFonts w:asciiTheme="minorHAnsi" w:hAnsiTheme="minorHAnsi" w:cstheme="minorHAnsi"/>
        </w:rPr>
        <w:t>komu bude pomoc priznaná,</w:t>
      </w:r>
    </w:p>
    <w:p w14:paraId="3D31AC3F" w14:textId="77777777" w:rsidR="00535ABA" w:rsidRPr="00484F1B" w:rsidRDefault="00535ABA" w:rsidP="00BD3E8C">
      <w:pPr>
        <w:pStyle w:val="Normlnywebov"/>
        <w:numPr>
          <w:ilvl w:val="0"/>
          <w:numId w:val="9"/>
        </w:numPr>
        <w:jc w:val="both"/>
        <w:rPr>
          <w:rFonts w:asciiTheme="minorHAnsi" w:hAnsiTheme="minorHAnsi" w:cstheme="minorHAnsi"/>
        </w:rPr>
      </w:pPr>
      <w:r w:rsidRPr="00484F1B">
        <w:rPr>
          <w:rFonts w:asciiTheme="minorHAnsi" w:hAnsiTheme="minorHAnsi" w:cstheme="minorHAnsi"/>
        </w:rPr>
        <w:t>v akej výške bude poskytnutá,</w:t>
      </w:r>
    </w:p>
    <w:p w14:paraId="35A9B7F7" w14:textId="77777777" w:rsidR="00535ABA" w:rsidRPr="00484F1B" w:rsidRDefault="00535ABA" w:rsidP="00BD3E8C">
      <w:pPr>
        <w:pStyle w:val="Normlnywebov"/>
        <w:numPr>
          <w:ilvl w:val="0"/>
          <w:numId w:val="9"/>
        </w:numPr>
        <w:jc w:val="both"/>
        <w:rPr>
          <w:rFonts w:asciiTheme="minorHAnsi" w:hAnsiTheme="minorHAnsi" w:cstheme="minorHAnsi"/>
        </w:rPr>
      </w:pPr>
      <w:r w:rsidRPr="00484F1B">
        <w:rPr>
          <w:rFonts w:asciiTheme="minorHAnsi" w:hAnsiTheme="minorHAnsi" w:cstheme="minorHAnsi"/>
        </w:rPr>
        <w:t>ani v akom termíne bude doručená.</w:t>
      </w:r>
    </w:p>
    <w:p w14:paraId="3CA84C87" w14:textId="528D86E1" w:rsidR="00174528" w:rsidRPr="00484F1B" w:rsidRDefault="00535ABA" w:rsidP="00174528">
      <w:pPr>
        <w:pStyle w:val="Normlnywebov"/>
        <w:jc w:val="both"/>
        <w:rPr>
          <w:rFonts w:asciiTheme="minorHAnsi" w:hAnsiTheme="minorHAnsi" w:cstheme="minorHAnsi"/>
          <w:b/>
        </w:rPr>
      </w:pPr>
      <w:r w:rsidRPr="00484F1B">
        <w:rPr>
          <w:rFonts w:asciiTheme="minorHAnsi" w:hAnsiTheme="minorHAnsi" w:cstheme="minorHAnsi"/>
          <w:b/>
        </w:rPr>
        <w:t xml:space="preserve">Rovnako </w:t>
      </w:r>
      <w:r w:rsidR="00BD3E8C" w:rsidRPr="00484F1B">
        <w:rPr>
          <w:rFonts w:asciiTheme="minorHAnsi" w:hAnsiTheme="minorHAnsi" w:cstheme="minorHAnsi"/>
          <w:b/>
        </w:rPr>
        <w:t xml:space="preserve">nemajú možnosť preveriť </w:t>
      </w:r>
      <w:r w:rsidR="000A0BE3" w:rsidRPr="00484F1B">
        <w:rPr>
          <w:rFonts w:asciiTheme="minorHAnsi" w:hAnsiTheme="minorHAnsi" w:cstheme="minorHAnsi"/>
          <w:b/>
        </w:rPr>
        <w:t xml:space="preserve">informácie </w:t>
      </w:r>
      <w:r w:rsidRPr="00484F1B">
        <w:rPr>
          <w:rFonts w:asciiTheme="minorHAnsi" w:hAnsiTheme="minorHAnsi" w:cstheme="minorHAnsi"/>
          <w:b/>
        </w:rPr>
        <w:t>v prípade reklamácií či nedoručenia energošekov</w:t>
      </w:r>
      <w:r w:rsidR="008D3F5E" w:rsidRPr="00484F1B">
        <w:rPr>
          <w:rFonts w:asciiTheme="minorHAnsi" w:hAnsiTheme="minorHAnsi" w:cstheme="minorHAnsi"/>
          <w:b/>
        </w:rPr>
        <w:t>.</w:t>
      </w:r>
    </w:p>
    <w:p w14:paraId="5A6F6A73" w14:textId="73F5AB78" w:rsidR="00535ABA" w:rsidRPr="00484F1B" w:rsidRDefault="00535ABA" w:rsidP="00BD3E8C">
      <w:pPr>
        <w:pStyle w:val="Normlnywebov"/>
        <w:jc w:val="both"/>
        <w:rPr>
          <w:rFonts w:asciiTheme="minorHAnsi" w:hAnsiTheme="minorHAnsi" w:cstheme="minorHAnsi"/>
        </w:rPr>
      </w:pPr>
      <w:r w:rsidRPr="00484F1B">
        <w:rPr>
          <w:rFonts w:asciiTheme="minorHAnsi" w:hAnsiTheme="minorHAnsi" w:cstheme="minorHAnsi"/>
        </w:rPr>
        <w:t>Ak domácnosť energošek neobdržala,</w:t>
      </w:r>
      <w:r w:rsidR="000A0BE3" w:rsidRPr="00484F1B">
        <w:rPr>
          <w:rFonts w:asciiTheme="minorHAnsi" w:hAnsiTheme="minorHAnsi" w:cstheme="minorHAnsi"/>
        </w:rPr>
        <w:t xml:space="preserve"> </w:t>
      </w:r>
      <w:r w:rsidRPr="00484F1B">
        <w:rPr>
          <w:rFonts w:asciiTheme="minorHAnsi" w:hAnsiTheme="minorHAnsi" w:cstheme="minorHAnsi"/>
        </w:rPr>
        <w:t xml:space="preserve">odporúčame obrátiť sa priamo na Centrá odborného poradenstva zriadené Ministerstvom hospodárstva SR (tel. č.: 02/33003300) alebo na príslušný okresný úrad. Tieto inštitúcie </w:t>
      </w:r>
      <w:r w:rsidR="00A1699E" w:rsidRPr="00484F1B">
        <w:rPr>
          <w:rFonts w:asciiTheme="minorHAnsi" w:hAnsiTheme="minorHAnsi" w:cstheme="minorHAnsi"/>
        </w:rPr>
        <w:t xml:space="preserve">by mali </w:t>
      </w:r>
      <w:r w:rsidRPr="00484F1B">
        <w:rPr>
          <w:rFonts w:asciiTheme="minorHAnsi" w:hAnsiTheme="minorHAnsi" w:cstheme="minorHAnsi"/>
        </w:rPr>
        <w:t>vedi</w:t>
      </w:r>
      <w:r w:rsidR="00A1699E" w:rsidRPr="00484F1B">
        <w:rPr>
          <w:rFonts w:asciiTheme="minorHAnsi" w:hAnsiTheme="minorHAnsi" w:cstheme="minorHAnsi"/>
        </w:rPr>
        <w:t xml:space="preserve">eť </w:t>
      </w:r>
      <w:r w:rsidRPr="00484F1B">
        <w:rPr>
          <w:rFonts w:asciiTheme="minorHAnsi" w:hAnsiTheme="minorHAnsi" w:cstheme="minorHAnsi"/>
        </w:rPr>
        <w:t xml:space="preserve"> preveriť splnenie podmienok nároku na energopomoc, ako aj dôvody jej nepriznania alebo nedoručenia. Zároveň dokážu overiť, či sa na konkrétny bytový dom nevzťahuje iná forma podpory, napríklad zastropovanie ceny tepla namiesto energošekov.</w:t>
      </w:r>
    </w:p>
    <w:p w14:paraId="7F53B549" w14:textId="3D0B01C4" w:rsidR="00535ABA" w:rsidRPr="00484F1B" w:rsidRDefault="00535ABA" w:rsidP="00BD3E8C">
      <w:pPr>
        <w:pStyle w:val="Normlnywebov"/>
        <w:jc w:val="both"/>
        <w:rPr>
          <w:rFonts w:asciiTheme="minorHAnsi" w:hAnsiTheme="minorHAnsi" w:cstheme="minorHAnsi"/>
        </w:rPr>
      </w:pPr>
      <w:r w:rsidRPr="00484F1B">
        <w:rPr>
          <w:rFonts w:asciiTheme="minorHAnsi" w:hAnsiTheme="minorHAnsi" w:cstheme="minorHAnsi"/>
        </w:rPr>
        <w:t xml:space="preserve">V prípade, že </w:t>
      </w:r>
      <w:r w:rsidR="000A0BE3" w:rsidRPr="00484F1B">
        <w:rPr>
          <w:rFonts w:asciiTheme="minorHAnsi" w:hAnsiTheme="minorHAnsi" w:cstheme="minorHAnsi"/>
        </w:rPr>
        <w:t>sa</w:t>
      </w:r>
      <w:r w:rsidRPr="00484F1B">
        <w:rPr>
          <w:rFonts w:asciiTheme="minorHAnsi" w:hAnsiTheme="minorHAnsi" w:cstheme="minorHAnsi"/>
        </w:rPr>
        <w:t xml:space="preserve"> vylúčia všetky dôvody, pre ktoré by domácnosť nemala mať nárok na energopomoc, odporúčame kontaktovať správcu bytového domu alebo predsedu spoločenstva vlastníkov bytov. Tí môžu preveriť správnosť adresných údajov (súpisné a orientačné číslo), ktoré boli poskytnuté dodávateľovi tepla pri uzatváraní zmluvy o dodávke tepla</w:t>
      </w:r>
      <w:r w:rsidR="000C202A" w:rsidRPr="00484F1B">
        <w:rPr>
          <w:rFonts w:asciiTheme="minorHAnsi" w:hAnsiTheme="minorHAnsi" w:cstheme="minorHAnsi"/>
        </w:rPr>
        <w:t xml:space="preserve">, či sú v súlade s listom vlastníctva, pretože uvedenými informáciami disponujú. </w:t>
      </w:r>
      <w:r w:rsidRPr="00484F1B">
        <w:rPr>
          <w:rFonts w:asciiTheme="minorHAnsi" w:hAnsiTheme="minorHAnsi" w:cstheme="minorHAnsi"/>
        </w:rPr>
        <w:t>V prípade zistenia nezrovnalostí je potrebné tieto údaje opraviť prostredníctvom správcu</w:t>
      </w:r>
      <w:r w:rsidR="00C06333" w:rsidRPr="00484F1B">
        <w:rPr>
          <w:rFonts w:asciiTheme="minorHAnsi" w:hAnsiTheme="minorHAnsi" w:cstheme="minorHAnsi"/>
        </w:rPr>
        <w:t>.</w:t>
      </w:r>
      <w:r w:rsidRPr="00484F1B">
        <w:rPr>
          <w:rFonts w:asciiTheme="minorHAnsi" w:hAnsiTheme="minorHAnsi" w:cstheme="minorHAnsi"/>
        </w:rPr>
        <w:t xml:space="preserve"> </w:t>
      </w:r>
    </w:p>
    <w:p w14:paraId="4FCB233A" w14:textId="1E5A75A7" w:rsidR="00965178" w:rsidRPr="00484F1B" w:rsidRDefault="00484F1B" w:rsidP="00BD3E8C">
      <w:pPr>
        <w:pStyle w:val="Normlnywebov"/>
        <w:jc w:val="both"/>
        <w:rPr>
          <w:rFonts w:asciiTheme="minorHAnsi" w:hAnsiTheme="minorHAnsi" w:cstheme="minorHAnsi"/>
        </w:rPr>
      </w:pPr>
      <w:r w:rsidRPr="00484F1B">
        <w:rPr>
          <w:rFonts w:asciiTheme="minorHAnsi" w:hAnsiTheme="minorHAnsi" w:cstheme="minorHAnsi"/>
          <w:i/>
        </w:rPr>
        <w:t>„</w:t>
      </w:r>
      <w:r w:rsidR="00535ABA" w:rsidRPr="00484F1B">
        <w:rPr>
          <w:rFonts w:asciiTheme="minorHAnsi" w:hAnsiTheme="minorHAnsi" w:cstheme="minorHAnsi"/>
          <w:i/>
        </w:rPr>
        <w:t>Úlohou dodávateľov tepla je poskytovať štátu úplné a pravdivé informácie o odberných miestach tepla (vrátane adresy</w:t>
      </w:r>
      <w:r w:rsidR="00BD3E8C" w:rsidRPr="00484F1B">
        <w:rPr>
          <w:rFonts w:asciiTheme="minorHAnsi" w:hAnsiTheme="minorHAnsi" w:cstheme="minorHAnsi"/>
          <w:i/>
        </w:rPr>
        <w:t xml:space="preserve"> poskytnutej odberateľom pri podpise zmluvy</w:t>
      </w:r>
      <w:r w:rsidR="00535ABA" w:rsidRPr="00484F1B">
        <w:rPr>
          <w:rFonts w:asciiTheme="minorHAnsi" w:hAnsiTheme="minorHAnsi" w:cstheme="minorHAnsi"/>
          <w:i/>
        </w:rPr>
        <w:t>), ako aj údaje o cenách a objemoch dodaného tepla. Túto povinnosť si teplárenské spoločnosti združené v Slovenskom zväze výrobcov tepla riadne a včas plnia.</w:t>
      </w:r>
      <w:r w:rsidR="000C202A" w:rsidRPr="00484F1B">
        <w:rPr>
          <w:rFonts w:asciiTheme="minorHAnsi" w:hAnsiTheme="minorHAnsi" w:cstheme="minorHAnsi"/>
          <w:i/>
        </w:rPr>
        <w:t xml:space="preserve"> </w:t>
      </w:r>
      <w:r w:rsidR="00965178" w:rsidRPr="00484F1B">
        <w:rPr>
          <w:rFonts w:asciiTheme="minorHAnsi" w:hAnsiTheme="minorHAnsi" w:cstheme="minorHAnsi"/>
          <w:i/>
        </w:rPr>
        <w:t>Avšak informácie nad rámec toho, čo sú dodávatelia tepla povinní evidovať</w:t>
      </w:r>
      <w:r w:rsidR="00F943F3">
        <w:rPr>
          <w:rFonts w:asciiTheme="minorHAnsi" w:hAnsiTheme="minorHAnsi" w:cstheme="minorHAnsi"/>
          <w:i/>
        </w:rPr>
        <w:t>,</w:t>
      </w:r>
      <w:r w:rsidR="00965178" w:rsidRPr="00484F1B">
        <w:rPr>
          <w:rFonts w:asciiTheme="minorHAnsi" w:hAnsiTheme="minorHAnsi" w:cstheme="minorHAnsi"/>
          <w:i/>
        </w:rPr>
        <w:t xml:space="preserve"> poskytovať nemôžu, pretože nimi ani nedisponujú a nemô</w:t>
      </w:r>
      <w:r w:rsidRPr="00484F1B">
        <w:rPr>
          <w:rFonts w:asciiTheme="minorHAnsi" w:hAnsiTheme="minorHAnsi" w:cstheme="minorHAnsi"/>
          <w:i/>
        </w:rPr>
        <w:t>žu ani za ne niesť zodpovednosť,“</w:t>
      </w:r>
      <w:r w:rsidRPr="00484F1B">
        <w:rPr>
          <w:rFonts w:asciiTheme="minorHAnsi" w:hAnsiTheme="minorHAnsi" w:cstheme="minorHAnsi"/>
        </w:rPr>
        <w:t xml:space="preserve"> zdôraznil predseda predstavenstva SZVT, Stanislav Janiš. </w:t>
      </w:r>
    </w:p>
    <w:p w14:paraId="4F340AC8" w14:textId="5594FD6D" w:rsidR="00535ABA" w:rsidRPr="00484F1B" w:rsidRDefault="00535ABA" w:rsidP="00BD3E8C">
      <w:pPr>
        <w:pStyle w:val="Normlnywebov"/>
        <w:jc w:val="both"/>
        <w:rPr>
          <w:rFonts w:asciiTheme="minorHAnsi" w:hAnsiTheme="minorHAnsi" w:cstheme="minorHAnsi"/>
        </w:rPr>
      </w:pPr>
      <w:r w:rsidRPr="00484F1B">
        <w:rPr>
          <w:rFonts w:asciiTheme="minorHAnsi" w:hAnsiTheme="minorHAnsi" w:cstheme="minorHAnsi"/>
        </w:rPr>
        <w:lastRenderedPageBreak/>
        <w:t xml:space="preserve">Dodávatelia tepla sú naďalej pripravení poskytovať spotrebiteľom informácie týkajúce sa cien tepla, vyúčtovania alebo spôsobu fakturácie. </w:t>
      </w:r>
    </w:p>
    <w:p w14:paraId="061FB3AD" w14:textId="77777777" w:rsidR="00E64B9B" w:rsidRPr="003676E1" w:rsidRDefault="00E64B9B" w:rsidP="00E64B9B">
      <w:pPr>
        <w:pStyle w:val="Bezriadkovania"/>
        <w:rPr>
          <w:i/>
        </w:rPr>
      </w:pPr>
      <w:r w:rsidRPr="003676E1">
        <w:rPr>
          <w:i/>
        </w:rPr>
        <w:t>___________________________________________________________________________</w:t>
      </w:r>
    </w:p>
    <w:p w14:paraId="1547FF74" w14:textId="46868605" w:rsidR="00E64B9B" w:rsidRPr="00A13B0E" w:rsidRDefault="00E64B9B" w:rsidP="00A13B0E">
      <w:pPr>
        <w:pStyle w:val="Bezriadkovania"/>
      </w:pPr>
      <w:r w:rsidRPr="003676E1">
        <w:rPr>
          <w:i/>
          <w:iCs/>
          <w:sz w:val="20"/>
          <w:szCs w:val="20"/>
        </w:rPr>
        <w:t xml:space="preserve">Slovenský zväz výrobcov tepla vznikol v roku 1998 ako záujmové združenie právnických osôb- výrobcov tepla. Zväz dnes  združuje naprieč celým Slovenskom viac ako 110 spoločností od menších mestských spoločností až po  nadnárodné spoločnosti.  Na Slovensku je 761 tisíc domácností tj. cca 2,4 milióna obyvateľov zásobovaných teplom zo systémov diaľkového vykurovania (CZT), čo predstavuje takmer 35% slovenských domácností (vrátane nízkopríjmových). Systémy CZT zásobujú teplom tiež nemocnice, školské zariadenia, priemysel a služby. </w:t>
      </w:r>
    </w:p>
    <w:sectPr w:rsidR="00E64B9B" w:rsidRPr="00A13B0E" w:rsidSect="00C82D0C">
      <w:footerReference w:type="default" r:id="rId8"/>
      <w:headerReference w:type="first" r:id="rId9"/>
      <w:footerReference w:type="first" r:id="rId10"/>
      <w:pgSz w:w="11906" w:h="16838"/>
      <w:pgMar w:top="1462" w:right="1417" w:bottom="1417" w:left="1417" w:header="11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1525" w14:textId="77777777" w:rsidR="00E9796B" w:rsidRDefault="00E9796B">
      <w:pPr>
        <w:spacing w:line="240" w:lineRule="auto"/>
      </w:pPr>
      <w:r>
        <w:separator/>
      </w:r>
    </w:p>
  </w:endnote>
  <w:endnote w:type="continuationSeparator" w:id="0">
    <w:p w14:paraId="52B6252C" w14:textId="77777777" w:rsidR="00E9796B" w:rsidRDefault="00E97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AD50" w14:textId="73578375" w:rsidR="000727F5" w:rsidRDefault="000727F5" w:rsidP="00151DF8">
    <w:pPr>
      <w:pStyle w:val="Hlavika"/>
      <w:rPr>
        <w:rFonts w:ascii="Copperplate Gothic Light" w:hAnsi="Copperplate Gothic Light" w:cstheme="minorHAnsi"/>
        <w:bCs/>
        <w:sz w:val="13"/>
        <w:szCs w:val="13"/>
      </w:rPr>
    </w:pPr>
    <w:r>
      <w:rPr>
        <w:rFonts w:ascii="Copperplate Gothic Light" w:hAnsi="Copperplate Gothic Light" w:cstheme="minorHAnsi"/>
        <w:bCs/>
        <w:sz w:val="13"/>
        <w:szCs w:val="13"/>
      </w:rPr>
      <w:softHyphen/>
    </w:r>
    <w:r>
      <w:rPr>
        <w:rFonts w:ascii="Copperplate Gothic Light" w:hAnsi="Copperplate Gothic Light" w:cstheme="minorHAnsi"/>
        <w:bCs/>
        <w:sz w:val="13"/>
        <w:szCs w:val="13"/>
      </w:rPr>
      <w:softHyphen/>
    </w:r>
    <w:r>
      <w:rPr>
        <w:rFonts w:ascii="Copperplate Gothic Light" w:hAnsi="Copperplate Gothic Light" w:cstheme="minorHAnsi"/>
        <w:bCs/>
        <w:sz w:val="13"/>
        <w:szCs w:val="13"/>
      </w:rPr>
      <w:softHyphen/>
    </w:r>
  </w:p>
  <w:p w14:paraId="7F5B27A5" w14:textId="479BA620" w:rsidR="000727F5" w:rsidRDefault="000727F5" w:rsidP="00151DF8">
    <w:pPr>
      <w:pStyle w:val="Hlavika"/>
      <w:rPr>
        <w:rFonts w:ascii="Copperplate Gothic Light" w:hAnsi="Copperplate Gothic Light" w:cstheme="minorHAnsi"/>
        <w:bCs/>
        <w:sz w:val="13"/>
        <w:szCs w:val="13"/>
      </w:rPr>
    </w:pPr>
    <w:r>
      <w:rPr>
        <w:rFonts w:ascii="Copperplate Gothic Light" w:hAnsi="Copperplate Gothic Light" w:cstheme="minorHAnsi"/>
        <w:bCs/>
        <w:sz w:val="13"/>
        <w:szCs w:val="13"/>
      </w:rPr>
      <w:t>___________________________________________________________________________________________________________________________________________</w:t>
    </w:r>
  </w:p>
  <w:p w14:paraId="4B091EB5" w14:textId="28CF422E" w:rsidR="00151DF8" w:rsidRPr="00926CE2" w:rsidRDefault="00151DF8" w:rsidP="00151DF8">
    <w:pPr>
      <w:pStyle w:val="Hlavika"/>
      <w:rPr>
        <w:rFonts w:ascii="Copperplate Gothic Light" w:hAnsi="Copperplate Gothic Light" w:cs="Calibri"/>
        <w:sz w:val="13"/>
        <w:szCs w:val="13"/>
      </w:rPr>
    </w:pPr>
    <w:r>
      <w:rPr>
        <w:rFonts w:ascii="Copperplate Gothic Light" w:hAnsi="Copperplate Gothic Light" w:cstheme="minorHAnsi"/>
        <w:bCs/>
        <w:sz w:val="13"/>
        <w:szCs w:val="13"/>
      </w:rPr>
      <w:t xml:space="preserve">SZVT, </w:t>
    </w:r>
    <w:r w:rsidRPr="006B6620">
      <w:rPr>
        <w:rFonts w:ascii="Copperplate Gothic Light" w:hAnsi="Copperplate Gothic Light" w:cstheme="minorHAnsi"/>
        <w:bCs/>
        <w:sz w:val="13"/>
        <w:szCs w:val="13"/>
      </w:rPr>
      <w:t>Z</w:t>
    </w:r>
    <w:r>
      <w:rPr>
        <w:rFonts w:ascii="Copperplate Gothic Light" w:hAnsi="Copperplate Gothic Light" w:cstheme="minorHAnsi"/>
        <w:bCs/>
        <w:sz w:val="13"/>
        <w:szCs w:val="13"/>
      </w:rPr>
      <w:t xml:space="preserve">APÍSANÝ V REGISTRI </w:t>
    </w:r>
    <w:r w:rsidRPr="000727F5">
      <w:rPr>
        <w:rFonts w:ascii="Copperplate Gothic Light" w:hAnsi="Copperplate Gothic Light" w:cstheme="minorHAnsi"/>
        <w:bCs/>
        <w:sz w:val="13"/>
        <w:szCs w:val="13"/>
      </w:rPr>
      <w:t>ZÁUJMOVÝCH ZDRU</w:t>
    </w:r>
    <w:r w:rsidRPr="000727F5">
      <w:rPr>
        <w:rFonts w:cs="Calibri"/>
        <w:bCs/>
        <w:sz w:val="13"/>
        <w:szCs w:val="13"/>
      </w:rPr>
      <w:t>Ž</w:t>
    </w:r>
    <w:r w:rsidRPr="000727F5">
      <w:rPr>
        <w:rFonts w:ascii="Copperplate Gothic Light" w:hAnsi="Copperplate Gothic Light" w:cs="Calibri"/>
        <w:bCs/>
        <w:sz w:val="13"/>
        <w:szCs w:val="13"/>
      </w:rPr>
      <w:t>EN</w:t>
    </w:r>
    <w:r w:rsidRPr="000727F5">
      <w:rPr>
        <w:rFonts w:ascii="Copperplate Gothic Light" w:hAnsi="Copperplate Gothic Light" w:cs="Copperplate Gothic Light"/>
        <w:bCs/>
        <w:sz w:val="13"/>
        <w:szCs w:val="13"/>
      </w:rPr>
      <w:t>Í</w:t>
    </w:r>
    <w:r>
      <w:rPr>
        <w:rFonts w:cs="Calibri"/>
        <w:bCs/>
        <w:sz w:val="13"/>
        <w:szCs w:val="13"/>
      </w:rPr>
      <w:t xml:space="preserve"> </w:t>
    </w:r>
    <w:r w:rsidRPr="006B6620">
      <w:rPr>
        <w:rFonts w:ascii="Copperplate Gothic Light" w:hAnsi="Copperplate Gothic Light" w:cs="Calibri"/>
        <w:bCs/>
        <w:sz w:val="13"/>
        <w:szCs w:val="13"/>
      </w:rPr>
      <w:t xml:space="preserve"> PR</w:t>
    </w:r>
    <w:r w:rsidRPr="006B6620">
      <w:rPr>
        <w:rFonts w:ascii="Copperplate Gothic Light" w:hAnsi="Copperplate Gothic Light" w:cs="Copperplate Gothic Light"/>
        <w:bCs/>
        <w:sz w:val="13"/>
        <w:szCs w:val="13"/>
      </w:rPr>
      <w:t>Á</w:t>
    </w:r>
    <w:r w:rsidRPr="006B6620">
      <w:rPr>
        <w:rFonts w:ascii="Copperplate Gothic Light" w:hAnsi="Copperplate Gothic Light" w:cs="Calibri"/>
        <w:bCs/>
        <w:sz w:val="13"/>
        <w:szCs w:val="13"/>
      </w:rPr>
      <w:t>VNICK</w:t>
    </w:r>
    <w:r w:rsidRPr="006B6620">
      <w:rPr>
        <w:rFonts w:ascii="Copperplate Gothic Light" w:hAnsi="Copperplate Gothic Light" w:cs="Copperplate Gothic Light"/>
        <w:bCs/>
        <w:sz w:val="13"/>
        <w:szCs w:val="13"/>
      </w:rPr>
      <w:t>Ý</w:t>
    </w:r>
    <w:r w:rsidRPr="006B6620">
      <w:rPr>
        <w:rFonts w:ascii="Copperplate Gothic Light" w:hAnsi="Copperplate Gothic Light" w:cs="Calibri"/>
        <w:bCs/>
        <w:sz w:val="13"/>
        <w:szCs w:val="13"/>
      </w:rPr>
      <w:t xml:space="preserve">CH OSOB NA KRAJSKOM ÚRADE V BANSKEJ BYSTRICI, ODBOR VŠEOBECNEJ VNÚTORNEJ SPRÁVY POD </w:t>
    </w:r>
    <w:r w:rsidRPr="006B6620">
      <w:rPr>
        <w:rFonts w:cs="Calibri"/>
        <w:bCs/>
        <w:sz w:val="13"/>
        <w:szCs w:val="13"/>
      </w:rPr>
      <w:t>Č</w:t>
    </w:r>
    <w:r w:rsidRPr="006B6620">
      <w:rPr>
        <w:rFonts w:ascii="Copperplate Gothic Light" w:hAnsi="Copperplate Gothic Light" w:cs="Calibri"/>
        <w:bCs/>
        <w:sz w:val="13"/>
        <w:szCs w:val="13"/>
      </w:rPr>
      <w:t>. 98/06510</w:t>
    </w:r>
    <w:r w:rsidRPr="00926CE2">
      <w:rPr>
        <w:rFonts w:ascii="Copperplate Gothic Light" w:hAnsi="Copperplate Gothic Light" w:cs="Calibri"/>
        <w:bCs/>
        <w:sz w:val="13"/>
        <w:szCs w:val="13"/>
      </w:rPr>
      <w:t xml:space="preserve">, </w:t>
    </w:r>
    <w:r w:rsidRPr="00926CE2">
      <w:rPr>
        <w:rFonts w:ascii="Copperplate Gothic Light" w:hAnsi="Copperplate Gothic Light" w:cs="Arial"/>
        <w:sz w:val="13"/>
        <w:szCs w:val="13"/>
      </w:rPr>
      <w:t xml:space="preserve">  I</w:t>
    </w:r>
    <w:r w:rsidRPr="00926CE2">
      <w:rPr>
        <w:rFonts w:cs="Calibri"/>
        <w:sz w:val="13"/>
        <w:szCs w:val="13"/>
      </w:rPr>
      <w:t>Č</w:t>
    </w:r>
    <w:r w:rsidRPr="00926CE2">
      <w:rPr>
        <w:rFonts w:ascii="Copperplate Gothic Light" w:hAnsi="Copperplate Gothic Light" w:cs="Calibri"/>
        <w:sz w:val="13"/>
        <w:szCs w:val="13"/>
      </w:rPr>
      <w:t>O: 35983698, DI</w:t>
    </w:r>
    <w:r w:rsidRPr="00926CE2">
      <w:rPr>
        <w:rFonts w:cs="Calibri"/>
        <w:sz w:val="13"/>
        <w:szCs w:val="13"/>
      </w:rPr>
      <w:t>Č</w:t>
    </w:r>
    <w:r w:rsidRPr="00926CE2">
      <w:rPr>
        <w:rFonts w:ascii="Copperplate Gothic Light" w:hAnsi="Copperplate Gothic Light" w:cs="Calibri"/>
        <w:sz w:val="13"/>
        <w:szCs w:val="13"/>
      </w:rPr>
      <w:t>: 2021700483</w:t>
    </w:r>
  </w:p>
  <w:p w14:paraId="37EBF04E" w14:textId="77777777" w:rsidR="00151DF8" w:rsidRPr="00926CE2" w:rsidRDefault="00151DF8" w:rsidP="00151DF8">
    <w:pPr>
      <w:jc w:val="center"/>
      <w:rPr>
        <w:rFonts w:ascii="Copperplate Gothic Light" w:hAnsi="Copperplate Gothic Light" w:cstheme="minorHAnsi"/>
        <w:bCs/>
        <w:sz w:val="13"/>
        <w:szCs w:val="13"/>
      </w:rPr>
    </w:pPr>
  </w:p>
  <w:p w14:paraId="716E9F0C" w14:textId="77777777" w:rsidR="00151DF8" w:rsidRPr="00E3288F" w:rsidRDefault="00151DF8" w:rsidP="00151DF8">
    <w:pPr>
      <w:pStyle w:val="Pta"/>
      <w:jc w:val="center"/>
      <w:rPr>
        <w:b/>
        <w:bCs/>
        <w:sz w:val="13"/>
        <w:szCs w:val="13"/>
      </w:rPr>
    </w:pPr>
  </w:p>
  <w:p w14:paraId="7ABBAA55" w14:textId="4F640463" w:rsidR="00796072" w:rsidRPr="00AC04CB" w:rsidRDefault="00796072">
    <w:pPr>
      <w:pStyle w:val="Pta"/>
      <w:jc w:val="right"/>
      <w:rPr>
        <w:rFonts w:ascii="Times New Roman" w:hAnsi="Times New Roman"/>
      </w:rPr>
    </w:pPr>
  </w:p>
  <w:p w14:paraId="0C827C76" w14:textId="77777777" w:rsidR="00796072" w:rsidRDefault="0079607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5D5A" w14:textId="46E05FFD" w:rsidR="000727F5" w:rsidRDefault="000727F5" w:rsidP="00151DF8">
    <w:pPr>
      <w:pStyle w:val="Hlavika"/>
      <w:rPr>
        <w:rFonts w:ascii="Copperplate Gothic Light" w:hAnsi="Copperplate Gothic Light" w:cstheme="minorHAnsi"/>
        <w:bCs/>
        <w:sz w:val="13"/>
        <w:szCs w:val="13"/>
      </w:rPr>
    </w:pPr>
    <w:r>
      <w:rPr>
        <w:rFonts w:ascii="Copperplate Gothic Light" w:hAnsi="Copperplate Gothic Light" w:cstheme="minorHAnsi"/>
        <w:bCs/>
        <w:sz w:val="13"/>
        <w:szCs w:val="13"/>
      </w:rPr>
      <w:t>___________________________________________________________________________________________________________________________________________</w:t>
    </w:r>
  </w:p>
  <w:p w14:paraId="6846CF33" w14:textId="570A9725" w:rsidR="00151DF8" w:rsidRPr="00926CE2" w:rsidRDefault="00151DF8" w:rsidP="00151DF8">
    <w:pPr>
      <w:pStyle w:val="Hlavika"/>
      <w:rPr>
        <w:rFonts w:ascii="Copperplate Gothic Light" w:hAnsi="Copperplate Gothic Light" w:cs="Calibri"/>
        <w:sz w:val="13"/>
        <w:szCs w:val="13"/>
      </w:rPr>
    </w:pPr>
    <w:r>
      <w:rPr>
        <w:rFonts w:ascii="Copperplate Gothic Light" w:hAnsi="Copperplate Gothic Light" w:cstheme="minorHAnsi"/>
        <w:bCs/>
        <w:sz w:val="13"/>
        <w:szCs w:val="13"/>
      </w:rPr>
      <w:t xml:space="preserve">SZVT, </w:t>
    </w:r>
    <w:r w:rsidRPr="006B6620">
      <w:rPr>
        <w:rFonts w:ascii="Copperplate Gothic Light" w:hAnsi="Copperplate Gothic Light" w:cstheme="minorHAnsi"/>
        <w:bCs/>
        <w:sz w:val="13"/>
        <w:szCs w:val="13"/>
      </w:rPr>
      <w:t>Z</w:t>
    </w:r>
    <w:r>
      <w:rPr>
        <w:rFonts w:ascii="Copperplate Gothic Light" w:hAnsi="Copperplate Gothic Light" w:cstheme="minorHAnsi"/>
        <w:bCs/>
        <w:sz w:val="13"/>
        <w:szCs w:val="13"/>
      </w:rPr>
      <w:t>APÍSANÝ V REGISTRI ZÁUJMOVÝCH ZDRU</w:t>
    </w:r>
    <w:r>
      <w:rPr>
        <w:rFonts w:cs="Calibri"/>
        <w:bCs/>
        <w:sz w:val="13"/>
        <w:szCs w:val="13"/>
      </w:rPr>
      <w:t xml:space="preserve">ŽENÍ </w:t>
    </w:r>
    <w:r w:rsidRPr="006B6620">
      <w:rPr>
        <w:rFonts w:ascii="Copperplate Gothic Light" w:hAnsi="Copperplate Gothic Light" w:cs="Calibri"/>
        <w:bCs/>
        <w:sz w:val="13"/>
        <w:szCs w:val="13"/>
      </w:rPr>
      <w:t xml:space="preserve"> PR</w:t>
    </w:r>
    <w:r w:rsidRPr="006B6620">
      <w:rPr>
        <w:rFonts w:ascii="Copperplate Gothic Light" w:hAnsi="Copperplate Gothic Light" w:cs="Copperplate Gothic Light"/>
        <w:bCs/>
        <w:sz w:val="13"/>
        <w:szCs w:val="13"/>
      </w:rPr>
      <w:t>Á</w:t>
    </w:r>
    <w:r w:rsidRPr="006B6620">
      <w:rPr>
        <w:rFonts w:ascii="Copperplate Gothic Light" w:hAnsi="Copperplate Gothic Light" w:cs="Calibri"/>
        <w:bCs/>
        <w:sz w:val="13"/>
        <w:szCs w:val="13"/>
      </w:rPr>
      <w:t>VNICK</w:t>
    </w:r>
    <w:r w:rsidRPr="006B6620">
      <w:rPr>
        <w:rFonts w:ascii="Copperplate Gothic Light" w:hAnsi="Copperplate Gothic Light" w:cs="Copperplate Gothic Light"/>
        <w:bCs/>
        <w:sz w:val="13"/>
        <w:szCs w:val="13"/>
      </w:rPr>
      <w:t>Ý</w:t>
    </w:r>
    <w:r w:rsidRPr="006B6620">
      <w:rPr>
        <w:rFonts w:ascii="Copperplate Gothic Light" w:hAnsi="Copperplate Gothic Light" w:cs="Calibri"/>
        <w:bCs/>
        <w:sz w:val="13"/>
        <w:szCs w:val="13"/>
      </w:rPr>
      <w:t xml:space="preserve">CH OSOB NA KRAJSKOM ÚRADE V BANSKEJ BYSTRICI, ODBOR VŠEOBECNEJ VNÚTORNEJ SPRÁVY POD </w:t>
    </w:r>
    <w:r w:rsidRPr="006B6620">
      <w:rPr>
        <w:rFonts w:cs="Calibri"/>
        <w:bCs/>
        <w:sz w:val="13"/>
        <w:szCs w:val="13"/>
      </w:rPr>
      <w:t>Č</w:t>
    </w:r>
    <w:r w:rsidRPr="006B6620">
      <w:rPr>
        <w:rFonts w:ascii="Copperplate Gothic Light" w:hAnsi="Copperplate Gothic Light" w:cs="Calibri"/>
        <w:bCs/>
        <w:sz w:val="13"/>
        <w:szCs w:val="13"/>
      </w:rPr>
      <w:t>. 98/06510</w:t>
    </w:r>
    <w:r w:rsidRPr="00926CE2">
      <w:rPr>
        <w:rFonts w:ascii="Copperplate Gothic Light" w:hAnsi="Copperplate Gothic Light" w:cs="Calibri"/>
        <w:bCs/>
        <w:sz w:val="13"/>
        <w:szCs w:val="13"/>
      </w:rPr>
      <w:t xml:space="preserve">, </w:t>
    </w:r>
    <w:r w:rsidRPr="00926CE2">
      <w:rPr>
        <w:rFonts w:ascii="Copperplate Gothic Light" w:hAnsi="Copperplate Gothic Light" w:cs="Arial"/>
        <w:sz w:val="13"/>
        <w:szCs w:val="13"/>
      </w:rPr>
      <w:t xml:space="preserve">  I</w:t>
    </w:r>
    <w:r w:rsidRPr="00926CE2">
      <w:rPr>
        <w:rFonts w:cs="Calibri"/>
        <w:sz w:val="13"/>
        <w:szCs w:val="13"/>
      </w:rPr>
      <w:t>Č</w:t>
    </w:r>
    <w:r w:rsidRPr="00926CE2">
      <w:rPr>
        <w:rFonts w:ascii="Copperplate Gothic Light" w:hAnsi="Copperplate Gothic Light" w:cs="Calibri"/>
        <w:sz w:val="13"/>
        <w:szCs w:val="13"/>
      </w:rPr>
      <w:t>O: 35983698, DI</w:t>
    </w:r>
    <w:r w:rsidRPr="00926CE2">
      <w:rPr>
        <w:rFonts w:cs="Calibri"/>
        <w:sz w:val="13"/>
        <w:szCs w:val="13"/>
      </w:rPr>
      <w:t>Č</w:t>
    </w:r>
    <w:r w:rsidRPr="00926CE2">
      <w:rPr>
        <w:rFonts w:ascii="Copperplate Gothic Light" w:hAnsi="Copperplate Gothic Light" w:cs="Calibri"/>
        <w:sz w:val="13"/>
        <w:szCs w:val="13"/>
      </w:rPr>
      <w:t>: 2021700483</w:t>
    </w:r>
  </w:p>
  <w:p w14:paraId="7F87B483" w14:textId="77777777" w:rsidR="00151DF8" w:rsidRPr="00926CE2" w:rsidRDefault="00151DF8" w:rsidP="00151DF8">
    <w:pPr>
      <w:jc w:val="center"/>
      <w:rPr>
        <w:rFonts w:ascii="Copperplate Gothic Light" w:hAnsi="Copperplate Gothic Light" w:cstheme="minorHAnsi"/>
        <w:bCs/>
        <w:sz w:val="13"/>
        <w:szCs w:val="13"/>
      </w:rPr>
    </w:pPr>
  </w:p>
  <w:p w14:paraId="1424EF64" w14:textId="77777777" w:rsidR="00151DF8" w:rsidRPr="00E3288F" w:rsidRDefault="00151DF8" w:rsidP="00151DF8">
    <w:pPr>
      <w:pStyle w:val="Pta"/>
      <w:jc w:val="center"/>
      <w:rPr>
        <w:b/>
        <w:bCs/>
        <w:sz w:val="13"/>
        <w:szCs w:val="13"/>
      </w:rPr>
    </w:pPr>
  </w:p>
  <w:p w14:paraId="4A3770D2" w14:textId="77777777" w:rsidR="00796072" w:rsidRDefault="007960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97B1" w14:textId="77777777" w:rsidR="00E9796B" w:rsidRDefault="00E9796B">
      <w:pPr>
        <w:spacing w:line="240" w:lineRule="auto"/>
      </w:pPr>
      <w:r>
        <w:separator/>
      </w:r>
    </w:p>
  </w:footnote>
  <w:footnote w:type="continuationSeparator" w:id="0">
    <w:p w14:paraId="2F1C9A5F" w14:textId="77777777" w:rsidR="00E9796B" w:rsidRDefault="00E97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0FED" w14:textId="41611458" w:rsidR="00796072" w:rsidRDefault="00BE2ADC" w:rsidP="008123A0">
    <w:pPr>
      <w:pStyle w:val="Hlavika"/>
    </w:pPr>
    <w:r>
      <w:t xml:space="preserve">                                                                                           </w:t>
    </w:r>
  </w:p>
  <w:p w14:paraId="013EB4FF" w14:textId="77777777" w:rsidR="008123A0" w:rsidRPr="00F90AB9" w:rsidRDefault="007E7A6E" w:rsidP="00BE2ADC">
    <w:pPr>
      <w:pStyle w:val="Hlavika"/>
      <w:rPr>
        <w:rFonts w:ascii="Copperplate Gothic Light" w:hAnsi="Copperplate Gothic Light"/>
        <w:b/>
        <w:sz w:val="16"/>
        <w:szCs w:val="16"/>
      </w:rPr>
    </w:pPr>
    <w:r>
      <w:rPr>
        <w:rFonts w:ascii="Copperplate Gothic Light" w:hAnsi="Copperplate Gothic Light"/>
        <w:b/>
        <w:sz w:val="16"/>
        <w:szCs w:val="16"/>
      </w:rPr>
      <w:t xml:space="preserve">  </w:t>
    </w:r>
  </w:p>
  <w:tbl>
    <w:tblPr>
      <w:tblW w:w="9958" w:type="dxa"/>
      <w:tblCellMar>
        <w:left w:w="70" w:type="dxa"/>
        <w:right w:w="70" w:type="dxa"/>
      </w:tblCellMar>
      <w:tblLook w:val="0000" w:firstRow="0" w:lastRow="0" w:firstColumn="0" w:lastColumn="0" w:noHBand="0" w:noVBand="0"/>
    </w:tblPr>
    <w:tblGrid>
      <w:gridCol w:w="6307"/>
      <w:gridCol w:w="3651"/>
    </w:tblGrid>
    <w:tr w:rsidR="008123A0" w14:paraId="4FF09729" w14:textId="77777777" w:rsidTr="00796072">
      <w:trPr>
        <w:trHeight w:val="682"/>
      </w:trPr>
      <w:tc>
        <w:tcPr>
          <w:tcW w:w="6307" w:type="dxa"/>
        </w:tcPr>
        <w:p w14:paraId="3978155A" w14:textId="1B849074" w:rsidR="008123A0" w:rsidRDefault="00CF398F" w:rsidP="00205428">
          <w:pPr>
            <w:pStyle w:val="Hlavika"/>
            <w:ind w:left="-70"/>
            <w:jc w:val="left"/>
          </w:pPr>
          <w:r>
            <w:rPr>
              <w:rFonts w:ascii="Times New Roman" w:eastAsia="Times New Roman" w:hAnsi="Times New Roman"/>
              <w:noProof/>
              <w:sz w:val="24"/>
              <w:szCs w:val="24"/>
              <w:lang w:eastAsia="cs-CZ"/>
            </w:rPr>
            <w:ptab w:relativeTo="margin" w:alignment="left" w:leader="none"/>
          </w:r>
          <w:r w:rsidRPr="00CF398F">
            <w:rPr>
              <w:rFonts w:ascii="Times New Roman" w:eastAsia="Times New Roman" w:hAnsi="Times New Roman"/>
              <w:noProof/>
              <w:sz w:val="24"/>
              <w:szCs w:val="24"/>
              <w:lang w:eastAsia="sk-SK"/>
            </w:rPr>
            <w:drawing>
              <wp:inline distT="0" distB="0" distL="0" distR="0" wp14:anchorId="47A67188" wp14:editId="0228B32C">
                <wp:extent cx="977900" cy="674415"/>
                <wp:effectExtent l="0" t="0" r="0" b="0"/>
                <wp:docPr id="113007837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78375" name=""/>
                        <pic:cNvPicPr/>
                      </pic:nvPicPr>
                      <pic:blipFill>
                        <a:blip r:embed="rId1"/>
                        <a:stretch>
                          <a:fillRect/>
                        </a:stretch>
                      </pic:blipFill>
                      <pic:spPr>
                        <a:xfrm>
                          <a:off x="0" y="0"/>
                          <a:ext cx="978017" cy="674496"/>
                        </a:xfrm>
                        <a:prstGeom prst="rect">
                          <a:avLst/>
                        </a:prstGeom>
                      </pic:spPr>
                    </pic:pic>
                  </a:graphicData>
                </a:graphic>
              </wp:inline>
            </w:drawing>
          </w:r>
        </w:p>
      </w:tc>
      <w:tc>
        <w:tcPr>
          <w:tcW w:w="3651" w:type="dxa"/>
        </w:tcPr>
        <w:p w14:paraId="4F9904EC" w14:textId="00505FF7" w:rsidR="008123A0" w:rsidRPr="00CF398F" w:rsidRDefault="008123A0" w:rsidP="008123A0">
          <w:pPr>
            <w:pStyle w:val="Hlavika"/>
            <w:rPr>
              <w:rFonts w:ascii="Copperplate Gothic Light" w:hAnsi="Copperplate Gothic Light"/>
              <w:b/>
              <w:bCs/>
              <w:sz w:val="16"/>
              <w:szCs w:val="16"/>
            </w:rPr>
          </w:pPr>
          <w:r w:rsidRPr="00CF398F">
            <w:rPr>
              <w:rFonts w:ascii="Copperplate Gothic Light" w:hAnsi="Copperplate Gothic Light"/>
              <w:b/>
              <w:bCs/>
              <w:sz w:val="16"/>
              <w:szCs w:val="16"/>
            </w:rPr>
            <w:t>S</w:t>
          </w:r>
          <w:r w:rsidR="00CF398F" w:rsidRPr="00CF398F">
            <w:rPr>
              <w:rFonts w:ascii="Copperplate Gothic Light" w:hAnsi="Copperplate Gothic Light"/>
              <w:b/>
              <w:bCs/>
              <w:sz w:val="16"/>
              <w:szCs w:val="16"/>
            </w:rPr>
            <w:t xml:space="preserve">lovenský zvaz výrobcov tepla </w:t>
          </w:r>
        </w:p>
        <w:p w14:paraId="3C5EAF52" w14:textId="77777777" w:rsidR="008123A0" w:rsidRPr="00CF398F" w:rsidRDefault="008123A0" w:rsidP="008123A0">
          <w:pPr>
            <w:pStyle w:val="Hlavika"/>
            <w:rPr>
              <w:rFonts w:ascii="Copperplate Gothic Light" w:hAnsi="Copperplate Gothic Light"/>
              <w:bCs/>
              <w:sz w:val="16"/>
              <w:szCs w:val="16"/>
            </w:rPr>
          </w:pPr>
          <w:r w:rsidRPr="00CF398F">
            <w:rPr>
              <w:rFonts w:ascii="Copperplate Gothic Light" w:hAnsi="Copperplate Gothic Light"/>
              <w:iCs/>
              <w:sz w:val="16"/>
              <w:szCs w:val="16"/>
            </w:rPr>
            <w:t>UNIONKA 54, 960 01 ZVOLEN</w:t>
          </w:r>
        </w:p>
        <w:p w14:paraId="1778B19C" w14:textId="77777777" w:rsidR="008123A0" w:rsidRPr="00CF398F" w:rsidRDefault="008123A0" w:rsidP="008123A0">
          <w:pPr>
            <w:pStyle w:val="Pta"/>
            <w:rPr>
              <w:rFonts w:ascii="Copperplate Gothic Light" w:hAnsi="Copperplate Gothic Light"/>
              <w:sz w:val="16"/>
              <w:szCs w:val="16"/>
            </w:rPr>
          </w:pPr>
          <w:r w:rsidRPr="00CF398F">
            <w:rPr>
              <w:rFonts w:ascii="Copperplate Gothic Light" w:hAnsi="Copperplate Gothic Light"/>
              <w:bCs/>
              <w:sz w:val="16"/>
              <w:szCs w:val="16"/>
            </w:rPr>
            <w:t>e-mail:</w:t>
          </w:r>
          <w:r w:rsidRPr="00CF398F">
            <w:rPr>
              <w:rFonts w:ascii="Copperplate Gothic Light" w:hAnsi="Copperplate Gothic Light"/>
              <w:b/>
              <w:bCs/>
              <w:sz w:val="16"/>
              <w:szCs w:val="16"/>
            </w:rPr>
            <w:t xml:space="preserve"> </w:t>
          </w:r>
          <w:r w:rsidRPr="00CF398F">
            <w:rPr>
              <w:rFonts w:ascii="Copperplate Gothic Light" w:hAnsi="Copperplate Gothic Light"/>
              <w:sz w:val="16"/>
              <w:szCs w:val="16"/>
            </w:rPr>
            <w:t xml:space="preserve"> szvt@szvt.sk</w:t>
          </w:r>
        </w:p>
        <w:p w14:paraId="0C4278D4" w14:textId="77777777" w:rsidR="008123A0" w:rsidRPr="00CF398F" w:rsidRDefault="008123A0" w:rsidP="008123A0">
          <w:pPr>
            <w:pStyle w:val="Hlavika"/>
            <w:rPr>
              <w:rFonts w:ascii="Copperplate Gothic Light" w:hAnsi="Copperplate Gothic Light"/>
              <w:iCs/>
              <w:sz w:val="16"/>
              <w:szCs w:val="16"/>
            </w:rPr>
          </w:pPr>
          <w:r w:rsidRPr="00CF398F">
            <w:rPr>
              <w:rFonts w:ascii="Copperplate Gothic Light" w:hAnsi="Copperplate Gothic Light"/>
              <w:iCs/>
              <w:sz w:val="16"/>
              <w:szCs w:val="16"/>
            </w:rPr>
            <w:t>tel</w:t>
          </w:r>
          <w:r w:rsidRPr="00CF398F">
            <w:rPr>
              <w:rFonts w:ascii="Copperplate Gothic Light" w:hAnsi="Copperplate Gothic Light"/>
              <w:b/>
              <w:iCs/>
              <w:sz w:val="16"/>
              <w:szCs w:val="16"/>
            </w:rPr>
            <w:t>:</w:t>
          </w:r>
          <w:r w:rsidRPr="00CF398F">
            <w:rPr>
              <w:rFonts w:ascii="Copperplate Gothic Light" w:hAnsi="Copperplate Gothic Light"/>
              <w:iCs/>
              <w:sz w:val="16"/>
              <w:szCs w:val="16"/>
            </w:rPr>
            <w:t xml:space="preserve"> +421455320765 </w:t>
          </w:r>
        </w:p>
        <w:p w14:paraId="6D22179B" w14:textId="08392916" w:rsidR="008123A0" w:rsidRPr="00F90AB9" w:rsidRDefault="008123A0" w:rsidP="008123A0">
          <w:pPr>
            <w:pStyle w:val="Hlavika"/>
            <w:rPr>
              <w:i/>
              <w:iCs/>
              <w:sz w:val="18"/>
              <w:szCs w:val="18"/>
            </w:rPr>
          </w:pPr>
          <w:r w:rsidRPr="00CF398F">
            <w:rPr>
              <w:rFonts w:ascii="Copperplate Gothic Light" w:hAnsi="Copperplate Gothic Light"/>
              <w:iCs/>
              <w:sz w:val="16"/>
              <w:szCs w:val="16"/>
            </w:rPr>
            <w:t>www.szvt.sk</w:t>
          </w:r>
        </w:p>
      </w:tc>
    </w:tr>
  </w:tbl>
  <w:p w14:paraId="678B8518" w14:textId="17881B1E" w:rsidR="00BE2ADC" w:rsidRPr="00F90AB9" w:rsidRDefault="00205428" w:rsidP="00BE2ADC">
    <w:pPr>
      <w:pStyle w:val="Hlavika"/>
      <w:rPr>
        <w:rFonts w:ascii="Copperplate Gothic Light" w:hAnsi="Copperplate Gothic Light"/>
        <w:b/>
        <w:sz w:val="16"/>
        <w:szCs w:val="16"/>
      </w:rPr>
    </w:pPr>
    <w:r>
      <w:rPr>
        <w:rFonts w:ascii="Copperplate Gothic Light" w:hAnsi="Copperplate Gothic Light"/>
        <w:b/>
        <w:sz w:val="16"/>
        <w:szCs w:val="16"/>
      </w:rPr>
      <w:t>_________________________________________________________________________________________________________________</w:t>
    </w:r>
  </w:p>
  <w:p w14:paraId="71A87497" w14:textId="77777777" w:rsidR="00BE2ADC" w:rsidRPr="00BE2ADC" w:rsidRDefault="00BE2ADC" w:rsidP="00BE2A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48A"/>
    <w:multiLevelType w:val="hybridMultilevel"/>
    <w:tmpl w:val="6888950A"/>
    <w:lvl w:ilvl="0" w:tplc="302C4F76">
      <w:start w:val="1"/>
      <w:numFmt w:val="decimal"/>
      <w:lvlText w:val="%1."/>
      <w:lvlJc w:val="left"/>
      <w:pPr>
        <w:ind w:left="924" w:hanging="564"/>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3D6167"/>
    <w:multiLevelType w:val="hybridMultilevel"/>
    <w:tmpl w:val="E1EA6CD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DE90C9C"/>
    <w:multiLevelType w:val="multilevel"/>
    <w:tmpl w:val="44CE023E"/>
    <w:lvl w:ilvl="0">
      <w:start w:val="1"/>
      <w:numFmt w:val="decimal"/>
      <w:pStyle w:val="POLBOD"/>
      <w:lvlText w:val="%1."/>
      <w:lvlJc w:val="left"/>
      <w:pPr>
        <w:ind w:left="502" w:hanging="360"/>
      </w:pPr>
      <w:rPr>
        <w:b w:val="0"/>
        <w:i w:val="0"/>
        <w:sz w:val="21"/>
        <w:szCs w:val="2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DF17E0"/>
    <w:multiLevelType w:val="multilevel"/>
    <w:tmpl w:val="613E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73BFC"/>
    <w:multiLevelType w:val="multilevel"/>
    <w:tmpl w:val="FB34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A7605F"/>
    <w:multiLevelType w:val="hybridMultilevel"/>
    <w:tmpl w:val="E1EA6CDA"/>
    <w:lvl w:ilvl="0" w:tplc="64A8E5D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53856A7F"/>
    <w:multiLevelType w:val="hybridMultilevel"/>
    <w:tmpl w:val="B546DEB0"/>
    <w:lvl w:ilvl="0" w:tplc="3A567584">
      <w:start w:val="1"/>
      <w:numFmt w:val="decimal"/>
      <w:lvlText w:val="%1."/>
      <w:lvlJc w:val="left"/>
      <w:pPr>
        <w:ind w:left="567" w:hanging="567"/>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58924BA"/>
    <w:multiLevelType w:val="hybridMultilevel"/>
    <w:tmpl w:val="556224BE"/>
    <w:lvl w:ilvl="0" w:tplc="D5C6A9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66C8484A"/>
    <w:multiLevelType w:val="multilevel"/>
    <w:tmpl w:val="A562194E"/>
    <w:lvl w:ilvl="0">
      <w:start w:val="1"/>
      <w:numFmt w:val="decimal"/>
      <w:pStyle w:val="Nadpis1"/>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4756542">
    <w:abstractNumId w:val="6"/>
  </w:num>
  <w:num w:numId="2" w16cid:durableId="1385642645">
    <w:abstractNumId w:val="2"/>
  </w:num>
  <w:num w:numId="3" w16cid:durableId="1123038154">
    <w:abstractNumId w:val="8"/>
  </w:num>
  <w:num w:numId="4" w16cid:durableId="939482668">
    <w:abstractNumId w:val="7"/>
  </w:num>
  <w:num w:numId="5" w16cid:durableId="873731349">
    <w:abstractNumId w:val="0"/>
  </w:num>
  <w:num w:numId="6" w16cid:durableId="670137113">
    <w:abstractNumId w:val="5"/>
  </w:num>
  <w:num w:numId="7" w16cid:durableId="616720865">
    <w:abstractNumId w:val="1"/>
  </w:num>
  <w:num w:numId="8" w16cid:durableId="227151237">
    <w:abstractNumId w:val="4"/>
  </w:num>
  <w:num w:numId="9" w16cid:durableId="140509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56"/>
    <w:rsid w:val="00025AA4"/>
    <w:rsid w:val="00027171"/>
    <w:rsid w:val="000367E4"/>
    <w:rsid w:val="000727F5"/>
    <w:rsid w:val="0008770D"/>
    <w:rsid w:val="000A0BE3"/>
    <w:rsid w:val="000B49A2"/>
    <w:rsid w:val="000C0510"/>
    <w:rsid w:val="000C07F0"/>
    <w:rsid w:val="000C202A"/>
    <w:rsid w:val="00151DF8"/>
    <w:rsid w:val="00174528"/>
    <w:rsid w:val="001D545C"/>
    <w:rsid w:val="0020195D"/>
    <w:rsid w:val="00205428"/>
    <w:rsid w:val="00210865"/>
    <w:rsid w:val="00244439"/>
    <w:rsid w:val="00290C0C"/>
    <w:rsid w:val="002E36A4"/>
    <w:rsid w:val="002F4D12"/>
    <w:rsid w:val="00302342"/>
    <w:rsid w:val="00361707"/>
    <w:rsid w:val="00385873"/>
    <w:rsid w:val="003A4F8C"/>
    <w:rsid w:val="003B45AB"/>
    <w:rsid w:val="003C4DD3"/>
    <w:rsid w:val="00422C7D"/>
    <w:rsid w:val="00483BC6"/>
    <w:rsid w:val="00484F1B"/>
    <w:rsid w:val="004C7EC1"/>
    <w:rsid w:val="004F0FD0"/>
    <w:rsid w:val="00516494"/>
    <w:rsid w:val="00532C2F"/>
    <w:rsid w:val="00535ABA"/>
    <w:rsid w:val="005A2492"/>
    <w:rsid w:val="005C6AA2"/>
    <w:rsid w:val="005D3970"/>
    <w:rsid w:val="005D6588"/>
    <w:rsid w:val="00605F7E"/>
    <w:rsid w:val="00631086"/>
    <w:rsid w:val="006445B8"/>
    <w:rsid w:val="00645675"/>
    <w:rsid w:val="00645E5C"/>
    <w:rsid w:val="0064790D"/>
    <w:rsid w:val="00660C73"/>
    <w:rsid w:val="006733E8"/>
    <w:rsid w:val="006A1593"/>
    <w:rsid w:val="006A30BF"/>
    <w:rsid w:val="006E6C1E"/>
    <w:rsid w:val="0071285F"/>
    <w:rsid w:val="007533BD"/>
    <w:rsid w:val="0076190C"/>
    <w:rsid w:val="00771FE3"/>
    <w:rsid w:val="00796072"/>
    <w:rsid w:val="007A168E"/>
    <w:rsid w:val="007A6166"/>
    <w:rsid w:val="007B57B5"/>
    <w:rsid w:val="007B5E63"/>
    <w:rsid w:val="007D0A2E"/>
    <w:rsid w:val="007E2419"/>
    <w:rsid w:val="007E4BA4"/>
    <w:rsid w:val="007E5BFA"/>
    <w:rsid w:val="007E7A6E"/>
    <w:rsid w:val="007F1DDF"/>
    <w:rsid w:val="0080155D"/>
    <w:rsid w:val="008123A0"/>
    <w:rsid w:val="00885322"/>
    <w:rsid w:val="00891799"/>
    <w:rsid w:val="008C69C8"/>
    <w:rsid w:val="008D3F5E"/>
    <w:rsid w:val="008D6C5F"/>
    <w:rsid w:val="00921E83"/>
    <w:rsid w:val="00946092"/>
    <w:rsid w:val="00965178"/>
    <w:rsid w:val="009864E1"/>
    <w:rsid w:val="009C35A2"/>
    <w:rsid w:val="009D3FEF"/>
    <w:rsid w:val="00A0726C"/>
    <w:rsid w:val="00A10A5B"/>
    <w:rsid w:val="00A13B0E"/>
    <w:rsid w:val="00A1699E"/>
    <w:rsid w:val="00A50CF0"/>
    <w:rsid w:val="00AB376B"/>
    <w:rsid w:val="00B7024E"/>
    <w:rsid w:val="00BC105F"/>
    <w:rsid w:val="00BD3E8C"/>
    <w:rsid w:val="00BE2ADC"/>
    <w:rsid w:val="00BF0B17"/>
    <w:rsid w:val="00C06333"/>
    <w:rsid w:val="00C340C6"/>
    <w:rsid w:val="00C51E56"/>
    <w:rsid w:val="00C63E4E"/>
    <w:rsid w:val="00C82D0C"/>
    <w:rsid w:val="00C879C6"/>
    <w:rsid w:val="00CB3283"/>
    <w:rsid w:val="00CD0964"/>
    <w:rsid w:val="00CF398F"/>
    <w:rsid w:val="00D00B0C"/>
    <w:rsid w:val="00D01C81"/>
    <w:rsid w:val="00D146E3"/>
    <w:rsid w:val="00D43ACC"/>
    <w:rsid w:val="00D55ECA"/>
    <w:rsid w:val="00D5795D"/>
    <w:rsid w:val="00DB73B3"/>
    <w:rsid w:val="00DC330A"/>
    <w:rsid w:val="00E02464"/>
    <w:rsid w:val="00E206F1"/>
    <w:rsid w:val="00E64B9B"/>
    <w:rsid w:val="00E9796B"/>
    <w:rsid w:val="00F42F10"/>
    <w:rsid w:val="00F87773"/>
    <w:rsid w:val="00F92988"/>
    <w:rsid w:val="00F943F3"/>
    <w:rsid w:val="00FE6C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C69B3"/>
  <w15:docId w15:val="{A6BE73F4-EC9D-4FA6-8839-8B525630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1E56"/>
    <w:pPr>
      <w:spacing w:after="0" w:line="264" w:lineRule="auto"/>
      <w:jc w:val="both"/>
    </w:pPr>
    <w:rPr>
      <w:rFonts w:ascii="Calibri" w:eastAsia="Calibri" w:hAnsi="Calibri" w:cs="Times New Roman"/>
    </w:rPr>
  </w:style>
  <w:style w:type="paragraph" w:styleId="Nadpis1">
    <w:name w:val="heading 1"/>
    <w:basedOn w:val="Normlny"/>
    <w:next w:val="Normlny"/>
    <w:link w:val="Nadpis1Char"/>
    <w:uiPriority w:val="9"/>
    <w:qFormat/>
    <w:rsid w:val="00205428"/>
    <w:pPr>
      <w:keepNext/>
      <w:keepLines/>
      <w:numPr>
        <w:numId w:val="3"/>
      </w:numPr>
      <w:spacing w:before="240" w:line="276" w:lineRule="auto"/>
      <w:outlineLvl w:val="0"/>
    </w:pPr>
    <w:rPr>
      <w:rFonts w:ascii="Georgia" w:eastAsiaTheme="majorEastAsia" w:hAnsi="Georgia" w:cstheme="majorBidi"/>
      <w:b/>
      <w:color w:val="000000" w:themeColor="text1"/>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51E56"/>
    <w:pPr>
      <w:tabs>
        <w:tab w:val="center" w:pos="4536"/>
        <w:tab w:val="right" w:pos="9072"/>
      </w:tabs>
      <w:spacing w:line="240" w:lineRule="auto"/>
    </w:pPr>
  </w:style>
  <w:style w:type="character" w:customStyle="1" w:styleId="HlavikaChar">
    <w:name w:val="Hlavička Char"/>
    <w:basedOn w:val="Predvolenpsmoodseku"/>
    <w:link w:val="Hlavika"/>
    <w:uiPriority w:val="99"/>
    <w:rsid w:val="00C51E56"/>
    <w:rPr>
      <w:rFonts w:ascii="Calibri" w:eastAsia="Calibri" w:hAnsi="Calibri" w:cs="Times New Roman"/>
    </w:rPr>
  </w:style>
  <w:style w:type="paragraph" w:styleId="Pta">
    <w:name w:val="footer"/>
    <w:basedOn w:val="Normlny"/>
    <w:link w:val="PtaChar"/>
    <w:uiPriority w:val="99"/>
    <w:unhideWhenUsed/>
    <w:rsid w:val="00C51E56"/>
    <w:pPr>
      <w:tabs>
        <w:tab w:val="center" w:pos="4536"/>
        <w:tab w:val="right" w:pos="9072"/>
      </w:tabs>
      <w:spacing w:line="240" w:lineRule="auto"/>
    </w:pPr>
  </w:style>
  <w:style w:type="character" w:customStyle="1" w:styleId="PtaChar">
    <w:name w:val="Päta Char"/>
    <w:basedOn w:val="Predvolenpsmoodseku"/>
    <w:link w:val="Pta"/>
    <w:uiPriority w:val="99"/>
    <w:rsid w:val="00C51E56"/>
    <w:rPr>
      <w:rFonts w:ascii="Calibri" w:eastAsia="Calibri" w:hAnsi="Calibri" w:cs="Times New Roman"/>
    </w:rPr>
  </w:style>
  <w:style w:type="paragraph" w:styleId="Odsekzoznamu">
    <w:name w:val="List Paragraph"/>
    <w:basedOn w:val="Normlny"/>
    <w:link w:val="OdsekzoznamuChar"/>
    <w:uiPriority w:val="34"/>
    <w:qFormat/>
    <w:rsid w:val="00C51E56"/>
    <w:pPr>
      <w:ind w:left="720"/>
      <w:contextualSpacing/>
    </w:pPr>
  </w:style>
  <w:style w:type="character" w:customStyle="1" w:styleId="OdsekzoznamuChar">
    <w:name w:val="Odsek zoznamu Char"/>
    <w:link w:val="Odsekzoznamu"/>
    <w:uiPriority w:val="34"/>
    <w:locked/>
    <w:rsid w:val="00C51E56"/>
    <w:rPr>
      <w:rFonts w:ascii="Calibri" w:eastAsia="Calibri" w:hAnsi="Calibri" w:cs="Times New Roman"/>
    </w:rPr>
  </w:style>
  <w:style w:type="character" w:customStyle="1" w:styleId="Nadpis1Char">
    <w:name w:val="Nadpis 1 Char"/>
    <w:basedOn w:val="Predvolenpsmoodseku"/>
    <w:link w:val="Nadpis1"/>
    <w:uiPriority w:val="9"/>
    <w:rsid w:val="00205428"/>
    <w:rPr>
      <w:rFonts w:ascii="Georgia" w:eastAsiaTheme="majorEastAsia" w:hAnsi="Georgia" w:cstheme="majorBidi"/>
      <w:b/>
      <w:color w:val="000000" w:themeColor="text1"/>
      <w:szCs w:val="32"/>
    </w:rPr>
  </w:style>
  <w:style w:type="character" w:styleId="Vrazn">
    <w:name w:val="Strong"/>
    <w:basedOn w:val="Predvolenpsmoodseku"/>
    <w:uiPriority w:val="22"/>
    <w:qFormat/>
    <w:rsid w:val="00205428"/>
    <w:rPr>
      <w:b/>
      <w:bCs/>
    </w:rPr>
  </w:style>
  <w:style w:type="paragraph" w:customStyle="1" w:styleId="POLBOD">
    <w:name w:val="POL BOD"/>
    <w:basedOn w:val="Odsekzoznamu"/>
    <w:link w:val="POLBODChar"/>
    <w:uiPriority w:val="99"/>
    <w:qFormat/>
    <w:rsid w:val="00205428"/>
    <w:pPr>
      <w:widowControl w:val="0"/>
      <w:numPr>
        <w:numId w:val="2"/>
      </w:numPr>
      <w:spacing w:after="240" w:line="276" w:lineRule="auto"/>
      <w:contextualSpacing w:val="0"/>
    </w:pPr>
    <w:rPr>
      <w:rFonts w:ascii="Georgia" w:eastAsiaTheme="minorHAnsi" w:hAnsi="Georgia" w:cs="Arial"/>
    </w:rPr>
  </w:style>
  <w:style w:type="character" w:customStyle="1" w:styleId="POLBODChar">
    <w:name w:val="POL BOD Char"/>
    <w:basedOn w:val="Predvolenpsmoodseku"/>
    <w:link w:val="POLBOD"/>
    <w:uiPriority w:val="99"/>
    <w:rsid w:val="00205428"/>
    <w:rPr>
      <w:rFonts w:ascii="Georgia" w:hAnsi="Georgia" w:cs="Arial"/>
    </w:rPr>
  </w:style>
  <w:style w:type="paragraph" w:styleId="Bezriadkovania">
    <w:name w:val="No Spacing"/>
    <w:uiPriority w:val="1"/>
    <w:qFormat/>
    <w:rsid w:val="00205428"/>
    <w:pPr>
      <w:spacing w:after="0" w:line="240" w:lineRule="auto"/>
      <w:jc w:val="both"/>
    </w:pPr>
    <w:rPr>
      <w:rFonts w:ascii="Calibri" w:eastAsia="Calibri" w:hAnsi="Calibri" w:cs="Times New Roman"/>
    </w:rPr>
  </w:style>
  <w:style w:type="character" w:styleId="Odkaznakomentr">
    <w:name w:val="annotation reference"/>
    <w:basedOn w:val="Predvolenpsmoodseku"/>
    <w:uiPriority w:val="99"/>
    <w:semiHidden/>
    <w:unhideWhenUsed/>
    <w:rsid w:val="007B5E63"/>
    <w:rPr>
      <w:sz w:val="16"/>
      <w:szCs w:val="16"/>
    </w:rPr>
  </w:style>
  <w:style w:type="paragraph" w:styleId="Textkomentra">
    <w:name w:val="annotation text"/>
    <w:basedOn w:val="Normlny"/>
    <w:link w:val="TextkomentraChar"/>
    <w:uiPriority w:val="99"/>
    <w:unhideWhenUsed/>
    <w:rsid w:val="007B5E63"/>
    <w:pPr>
      <w:spacing w:after="200" w:line="240" w:lineRule="auto"/>
      <w:jc w:val="left"/>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7B5E63"/>
    <w:rPr>
      <w:sz w:val="20"/>
      <w:szCs w:val="20"/>
    </w:rPr>
  </w:style>
  <w:style w:type="character" w:styleId="Hypertextovprepojenie">
    <w:name w:val="Hyperlink"/>
    <w:basedOn w:val="Predvolenpsmoodseku"/>
    <w:uiPriority w:val="99"/>
    <w:unhideWhenUsed/>
    <w:rsid w:val="000B49A2"/>
    <w:rPr>
      <w:color w:val="0563C1" w:themeColor="hyperlink"/>
      <w:u w:val="single"/>
    </w:rPr>
  </w:style>
  <w:style w:type="character" w:customStyle="1" w:styleId="Nevyrieenzmienka1">
    <w:name w:val="Nevyriešená zmienka1"/>
    <w:basedOn w:val="Predvolenpsmoodseku"/>
    <w:uiPriority w:val="99"/>
    <w:semiHidden/>
    <w:unhideWhenUsed/>
    <w:rsid w:val="002E36A4"/>
    <w:rPr>
      <w:color w:val="605E5C"/>
      <w:shd w:val="clear" w:color="auto" w:fill="E1DFDD"/>
    </w:rPr>
  </w:style>
  <w:style w:type="paragraph" w:styleId="Normlnywebov">
    <w:name w:val="Normal (Web)"/>
    <w:basedOn w:val="Normlny"/>
    <w:uiPriority w:val="99"/>
    <w:semiHidden/>
    <w:unhideWhenUsed/>
    <w:rsid w:val="00535ABA"/>
    <w:pPr>
      <w:spacing w:before="100" w:beforeAutospacing="1" w:after="100" w:afterAutospacing="1" w:line="240" w:lineRule="auto"/>
      <w:jc w:val="left"/>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EF098-91E1-445A-90A1-0470EA66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2632</Characters>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2023-11-27T15:41:00Z</cp:lastPrinted>
  <dcterms:created xsi:type="dcterms:W3CDTF">2026-03-20T10:54:00Z</dcterms:created>
  <dcterms:modified xsi:type="dcterms:W3CDTF">2026-03-20T11:09:00Z</dcterms:modified>
</cp:coreProperties>
</file>